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0"/>
        <w:jc w:val="right"/>
        <w:spacing w:line="240" w:lineRule="auto"/>
        <w:rPr>
          <w:rFonts w:ascii="PT Astra Serif" w:hAnsi="PT Astra Serif" w:cs="PT Astra Serif"/>
          <w:sz w:val="24"/>
          <w:szCs w:val="24"/>
        </w:rPr>
        <w:outlineLvl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  <w:t xml:space="preserve">ПРОЕКТ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pStyle w:val="895"/>
        <w:ind w:left="0"/>
        <w:jc w:val="center"/>
        <w:spacing w:line="240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outlineLvl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БЕЛГОРОДСКАЯ ОБЛАСТЬ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pStyle w:val="890"/>
        <w:jc w:val="center"/>
        <w:rPr>
          <w:rFonts w:ascii="PT Astra Serif" w:hAnsi="PT Astra Serif" w:cs="PT Astra Serif"/>
          <w:b/>
          <w:sz w:val="24"/>
          <w:szCs w:val="24"/>
        </w:rPr>
        <w:outlineLvl w:val="0"/>
      </w:pPr>
      <w:r>
        <w:rPr>
          <w:rFonts w:ascii="PT Astra Serif" w:hAnsi="PT Astra Serif" w:eastAsia="PT Astra Serif" w:cs="PT Astra Serif"/>
          <w:b/>
          <w:sz w:val="24"/>
          <w:szCs w:val="24"/>
        </w:rPr>
      </w:r>
      <w:r>
        <w:rPr>
          <w:rFonts w:ascii="PT Astra Serif" w:hAnsi="PT Astra Serif" w:eastAsia="PT Astra Serif" w:cs="PT Astra Serif"/>
          <w:b/>
          <w:sz w:val="24"/>
          <w:szCs w:val="24"/>
        </w:rPr>
        <w:t xml:space="preserve">ЧЕРНЯНСКИЙ МУНИЦИПАЛЬНЫЙ ОКРУГ</w:t>
      </w:r>
      <w:r>
        <w:rPr>
          <w:rFonts w:ascii="PT Astra Serif" w:hAnsi="PT Astra Serif" w:cs="PT Astra Serif"/>
          <w:b/>
          <w:sz w:val="24"/>
          <w:szCs w:val="24"/>
        </w:rPr>
      </w:r>
    </w:p>
    <w:p>
      <w:pPr>
        <w:pStyle w:val="895"/>
        <w:ind w:left="0"/>
        <w:jc w:val="center"/>
        <w:spacing w:line="240" w:lineRule="auto"/>
        <w:rPr>
          <w:rFonts w:ascii="PT Astra Serif" w:hAnsi="PT Astra Serif" w:cs="PT Astra Serif"/>
          <w:sz w:val="24"/>
          <w:szCs w:val="24"/>
        </w:rPr>
        <w:outlineLvl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658495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4921777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4" cy="612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51.85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pStyle w:val="895"/>
        <w:ind w:left="0"/>
        <w:jc w:val="center"/>
        <w:spacing w:line="240" w:lineRule="auto"/>
        <w:rPr>
          <w:rFonts w:ascii="PT Astra Serif" w:hAnsi="PT Astra Serif" w:eastAsia="PT Astra Serif" w:cs="PT Astra Serif"/>
          <w:sz w:val="24"/>
          <w:szCs w:val="24"/>
          <w:highlight w:val="none"/>
        </w:rPr>
        <w:outlineLvl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АДМИНИСТРАЦИ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Я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ЧЕРНЯНСКОГО МУНИЦИПАЛЬНОГО ОКРУГА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pStyle w:val="895"/>
        <w:ind w:left="0"/>
        <w:jc w:val="center"/>
        <w:spacing w:line="240" w:lineRule="auto"/>
        <w:rPr>
          <w:rFonts w:ascii="PT Astra Serif" w:hAnsi="PT Astra Serif" w:cs="PT Astra Serif"/>
          <w:sz w:val="24"/>
          <w:szCs w:val="24"/>
        </w:rPr>
        <w:outlineLvl w:val="0"/>
      </w:pPr>
      <w:r>
        <w:rPr>
          <w:rFonts w:ascii="PT Astra Serif" w:hAnsi="PT Astra Serif" w:eastAsia="PT Astra Serif" w:cs="PT Astra Serif"/>
          <w:sz w:val="24"/>
          <w:szCs w:val="24"/>
        </w:rPr>
        <w:t xml:space="preserve">БЕЛГОРОДСКОЙ ОБЛАСТИ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pStyle w:val="890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hAnsi="PT Astra Serif" w:eastAsia="PT Astra Serif" w:cs="PT Astra Serif"/>
          <w:b/>
          <w:sz w:val="24"/>
          <w:szCs w:val="24"/>
        </w:rPr>
      </w:r>
      <w:r>
        <w:rPr>
          <w:rFonts w:ascii="PT Astra Serif" w:hAnsi="PT Astra Serif" w:cs="PT Astra Serif"/>
          <w:b/>
          <w:sz w:val="24"/>
          <w:szCs w:val="24"/>
        </w:rPr>
      </w:r>
      <w:r>
        <w:rPr>
          <w:rFonts w:ascii="PT Astra Serif" w:hAnsi="PT Astra Serif" w:cs="PT Astra Serif"/>
          <w:b/>
          <w:sz w:val="24"/>
          <w:szCs w:val="24"/>
        </w:rPr>
      </w:r>
    </w:p>
    <w:p>
      <w:pPr>
        <w:pStyle w:val="890"/>
        <w:jc w:val="center"/>
        <w:spacing w:line="276" w:lineRule="auto"/>
        <w:shd w:val="clear" w:color="auto" w:fill="ffffff"/>
        <w:rPr>
          <w:rFonts w:ascii="PT Astra Serif" w:hAnsi="PT Astra Serif" w:cs="PT Astra Serif"/>
          <w:b/>
          <w:sz w:val="24"/>
          <w:szCs w:val="24"/>
        </w:rPr>
        <w:outlineLvl w:val="0"/>
      </w:pP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П О С Т А Н О В Л Е Н И Е</w:t>
      </w:r>
      <w:r>
        <w:rPr>
          <w:rFonts w:ascii="PT Astra Serif" w:hAnsi="PT Astra Serif" w:cs="PT Astra Serif"/>
          <w:b/>
          <w:sz w:val="24"/>
          <w:szCs w:val="24"/>
        </w:rPr>
      </w:r>
      <w:r>
        <w:rPr>
          <w:rFonts w:ascii="PT Astra Serif" w:hAnsi="PT Astra Serif" w:cs="PT Astra Serif"/>
          <w:b/>
          <w:sz w:val="24"/>
          <w:szCs w:val="24"/>
        </w:rPr>
      </w:r>
    </w:p>
    <w:p>
      <w:pPr>
        <w:pStyle w:val="890"/>
        <w:jc w:val="center"/>
        <w:spacing w:line="276" w:lineRule="auto"/>
        <w:shd w:val="clear" w:color="auto" w:fill="ffffff"/>
        <w:rPr>
          <w:rFonts w:ascii="PT Astra Serif" w:hAnsi="PT Astra Serif" w:cs="PT Astra Serif"/>
          <w:b/>
          <w:sz w:val="22"/>
          <w:szCs w:val="22"/>
        </w:rPr>
        <w:outlineLvl w:val="0"/>
      </w:pPr>
      <w:r>
        <w:rPr>
          <w:rFonts w:ascii="PT Astra Serif" w:hAnsi="PT Astra Serif" w:eastAsia="PT Astra Serif" w:cs="PT Astra Serif"/>
          <w:b/>
          <w:sz w:val="22"/>
          <w:szCs w:val="22"/>
        </w:rPr>
        <w:t xml:space="preserve">п. </w:t>
      </w:r>
      <w:r>
        <w:rPr>
          <w:rFonts w:ascii="PT Astra Serif" w:hAnsi="PT Astra Serif" w:eastAsia="PT Astra Serif" w:cs="PT Astra Serif"/>
          <w:b/>
          <w:sz w:val="22"/>
          <w:szCs w:val="22"/>
        </w:rPr>
        <w:t xml:space="preserve">Чернянка</w:t>
      </w:r>
      <w:r>
        <w:rPr>
          <w:rFonts w:ascii="PT Astra Serif" w:hAnsi="PT Astra Serif" w:cs="PT Astra Serif"/>
          <w:b/>
          <w:sz w:val="22"/>
          <w:szCs w:val="22"/>
        </w:rPr>
      </w:r>
      <w:r>
        <w:rPr>
          <w:rFonts w:ascii="PT Astra Serif" w:hAnsi="PT Astra Serif" w:cs="PT Astra Serif"/>
          <w:b/>
          <w:sz w:val="22"/>
          <w:szCs w:val="22"/>
        </w:rPr>
      </w:r>
    </w:p>
    <w:p>
      <w:pPr>
        <w:pStyle w:val="890"/>
        <w:ind w:hanging="751"/>
        <w:jc w:val="center"/>
        <w:shd w:val="clear" w:color="auto" w:fill="ffffff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eastAsia="PT Astra Serif" w:cs="PT Astra Serif"/>
          <w:b/>
          <w:sz w:val="28"/>
          <w:szCs w:val="28"/>
        </w:rPr>
      </w:r>
      <w:r>
        <w:rPr>
          <w:rFonts w:ascii="PT Astra Serif" w:hAnsi="PT Astra Serif" w:cs="PT Astra Serif"/>
          <w:b/>
          <w:sz w:val="28"/>
          <w:szCs w:val="28"/>
        </w:rPr>
      </w:r>
      <w:r>
        <w:rPr>
          <w:rFonts w:ascii="PT Astra Serif" w:hAnsi="PT Astra Serif" w:cs="PT Astra Serif"/>
          <w:b/>
          <w:sz w:val="28"/>
          <w:szCs w:val="28"/>
        </w:rPr>
      </w:r>
    </w:p>
    <w:p>
      <w:pPr>
        <w:pStyle w:val="890"/>
        <w:shd w:val="clear" w:color="auto" w:fill="ffffff"/>
        <w:rPr>
          <w:rFonts w:ascii="PT Astra Serif" w:hAnsi="PT Astra Serif" w:cs="PT Astra Serif"/>
          <w:b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«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___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»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_________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_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20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____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г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.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                                              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      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               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№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_____</w:t>
      </w:r>
      <w:r>
        <w:rPr>
          <w:rFonts w:ascii="PT Astra Serif" w:hAnsi="PT Astra Serif" w:cs="PT Astra Serif"/>
          <w:b/>
          <w:color w:val="000000"/>
          <w:sz w:val="26"/>
          <w:szCs w:val="26"/>
        </w:rPr>
      </w:r>
      <w:r>
        <w:rPr>
          <w:rFonts w:ascii="PT Astra Serif" w:hAnsi="PT Astra Serif" w:cs="PT Astra Serif"/>
          <w:b/>
          <w:color w:val="000000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7"/>
        <w:jc w:val="center"/>
        <w:spacing w:after="0" w:line="240" w:lineRule="auto"/>
        <w:tabs>
          <w:tab w:val="clear" w:pos="720" w:leader="none"/>
        </w:tabs>
        <w:rPr>
          <w:rFonts w:ascii="PT Astra Serif" w:hAnsi="PT Astra Serif" w:cs="PT Astra Serif"/>
          <w:b/>
          <w:sz w:val="26"/>
          <w:szCs w:val="26"/>
        </w:rPr>
        <w:outlineLvl w:val="0"/>
      </w:pP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Об 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определении 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перечня должностных </w:t>
      </w: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 лиц, уполномоченных </w:t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7"/>
        <w:jc w:val="center"/>
        <w:spacing w:after="0" w:line="240" w:lineRule="auto"/>
        <w:tabs>
          <w:tab w:val="clear" w:pos="720" w:leader="none"/>
        </w:tabs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  <w:t xml:space="preserve">составлять протоколы об административных правонарушениях</w:t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7"/>
        <w:jc w:val="center"/>
        <w:spacing w:after="0" w:line="240" w:lineRule="auto"/>
        <w:tabs>
          <w:tab w:val="clear" w:pos="720" w:leader="none"/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7"/>
        <w:ind w:right="5670"/>
        <w:jc w:val="both"/>
        <w:spacing w:after="0" w:line="240" w:lineRule="auto"/>
        <w:tabs>
          <w:tab w:val="clear" w:pos="720" w:leader="none"/>
        </w:tabs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  <w:r>
        <w:rPr>
          <w:rFonts w:ascii="PT Astra Serif" w:hAnsi="PT Astra Serif" w:cs="PT Astra Serif"/>
          <w:b/>
          <w:sz w:val="26"/>
          <w:szCs w:val="26"/>
        </w:rPr>
      </w:r>
    </w:p>
    <w:p>
      <w:pPr>
        <w:pStyle w:val="890"/>
        <w:ind w:firstLine="709"/>
        <w:jc w:val="both"/>
        <w:keepLines/>
        <w:rPr>
          <w:rFonts w:ascii="PT Astra Serif" w:hAnsi="PT Astra Serif" w:cs="PT Astra Serif"/>
          <w:color w:val="000000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В 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соответствии 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с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закон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ом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Белгородской области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от 03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июля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2020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года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№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503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«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 наделении о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рганов местного самоуправления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и о внесении изменений в некоторые законы Белгородской области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»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Закон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ом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Белгородской области от 04 июля 2002 года № 35 «Об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административных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правонарушениях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на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территории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Белгородской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области», Закон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ом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Белгородской области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от 11 июня 2015 года № 360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«Об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административной ответственности за правонарушения в сфере транспортного обслуживания населения в Белгородской области»,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в целях совершенствования работы по исполнению административного законодательства на территории Чернянского муниципального округа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Белгородской области,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Администрация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Чернянского муниципального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округа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Белгородской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области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,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b/>
          <w:color w:val="000000"/>
          <w:spacing w:val="30"/>
          <w:sz w:val="26"/>
          <w:szCs w:val="26"/>
        </w:rPr>
        <w:t xml:space="preserve">постановляет</w:t>
      </w:r>
      <w:r>
        <w:rPr>
          <w:rFonts w:ascii="PT Astra Serif" w:hAnsi="PT Astra Serif" w:eastAsia="PT Astra Serif" w:cs="PT Astra Serif"/>
          <w:b/>
          <w:color w:val="000000"/>
          <w:sz w:val="26"/>
          <w:szCs w:val="26"/>
        </w:rPr>
        <w:t xml:space="preserve">:</w:t>
      </w:r>
      <w:r>
        <w:rPr>
          <w:rFonts w:ascii="PT Astra Serif" w:hAnsi="PT Astra Serif" w:cs="PT Astra Serif"/>
          <w:color w:val="000000"/>
          <w:sz w:val="26"/>
          <w:szCs w:val="26"/>
        </w:rPr>
      </w:r>
      <w:r>
        <w:rPr>
          <w:rFonts w:ascii="PT Astra Serif" w:hAnsi="PT Astra Serif" w:cs="PT Astra Serif"/>
          <w:color w:val="000000"/>
          <w:sz w:val="26"/>
          <w:szCs w:val="26"/>
        </w:rPr>
      </w:r>
    </w:p>
    <w:p>
      <w:pPr>
        <w:pStyle w:val="89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</w:rPr>
        <w:t xml:space="preserve">1.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Определить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что протоколы об административных правонарушениях, предусмотренных законом Белгородской области от 04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июля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2002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г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ода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№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35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«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Об административных правонарушениях на территории Белгородской области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»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законом Белгородской области от 11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июня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2015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№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 360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«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Об административной ответственности за правонарушения в сфере транспортного обслуживания населения в Белгородской области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»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, в пределах своей компетенции, в том числе по в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областными законами, уполномочены составлять следующие должностные лица администрации </w:t>
      </w:r>
      <w:r>
        <w:rPr>
          <w:rFonts w:ascii="PT Astra Serif" w:hAnsi="PT Astra Serif" w:eastAsia="PT Astra Serif" w:cs="PT Astra Serif"/>
          <w:sz w:val="26"/>
          <w:szCs w:val="26"/>
        </w:rPr>
        <w:t xml:space="preserve">Чернянского муниципального округа Белгородской области: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1.1. Начальник отдела архитектуры, градостроительства и ландшафтного обустройства Администрации Чернянского муниципального округа — об административных правонарушениях, 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2.21, 3.3, 3.18 - 3.38, 5.1.1, 5.1.16.1, 5.2, 6.12, 6.13, 6.17, 6.18, 6.29, 6.30 Закона Белгородской области от 04 июля 2002 года </w:t>
      </w:r>
      <w:hyperlink r:id="rId12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1.2.Управление имущественных и земельных отношений администрации Чернянского муниципального округа: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1.2.1.Руководитель управления имущественных и земельных отношений, заместитель руководителя управления имущественных и земельных отношений - начальник отдела муниципальной собственности — об административных правонарушениях, 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 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5.1.1, 5.1.6, 5.1.13 (в отношении ярмарок, организованных органами местного самоуправления, юридическими лицами, индивидуальными предпринимателями), 5.1.15 (в отношении предоставления муниципальных услуг), 5.1.18, 6.10, 6.12, 6.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13, 6.17, 6.18, 6.20, 6.25, 6.29, 6.30 Закона Белгородской области от 04 июля 2002 года </w:t>
      </w:r>
      <w:hyperlink r:id="rId13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1.2.2. Консультант отдела муниципальной собственности — об административных правонарушениях, 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2.21, 3.3, 3.18-3.38, 5.1.18, 6.10, 6.12, 6.13, 6.17, 6.18, 6.20, 6.25, 6.29, 6.30 Закона Белгородской области от 04 июля 2002 года </w:t>
      </w:r>
      <w:hyperlink r:id="rId14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1.2.3. Начальник отдела земельных ресурсов, главный специалист-инспектор по муниципальному земельному контролю отдела земельных ресурсов — об административных правонарушениях, 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5.1.1, 5.1.6, 5.1.13 (в отношении ярмарок, организованных органами местного самоуправления, юридическими лицами, индивидуальными предпринимателями), 5.1.15 (в отношении предоставления муниципальных услуг), 5.1.18, 6.10, 6.12, 6.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13, 6.17, 6.18, 6.20, 6.25, 6.29, 6.30 Закона Белгородской области от 04 июля 2002 года </w:t>
      </w:r>
      <w:hyperlink r:id="rId15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1.2.4. Главный специалист - инспектор по муниципальному земельному контролю отдела земельных ресурсов - об административных правонарушениях, предусмотренных: - статьями 2.21, 3.3, 3.18-3.38, 5.1.18, 6.10, 6.12, 6.13, 6.17, 6.18, 6.20, 6.25, 6.29, 6.30 Зако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на Белгородской области от 04 июля 2002 года №35 «Об административных правонарушениях на территории Белгородской области».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1.3. Начальник отдела потребительского рынка экономического управления, ведущий консультант отдела потребительского рынка экономического управления, консультант отдела потребительского рынка экономического управления — об административных правонарушениях, 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2.21, 2.22, 3.18-3.38, 5.1.1, 5.1.6, 5.1.18 5.1.13 (в отношении ярмарок, организованных органами местного самоуправления, юридическими лицами, индивидуальными предпринимателями), 6.8, 6.10, 6.12, 6.13, 6.25, 6.29, 6.30 Закона Белгородской област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и от 04 июля 2002 года </w:t>
      </w:r>
      <w:hyperlink r:id="rId16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1.4. Управление сельского хозяйства и природопользования администрации Чернянского муниципального округа: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1.4.1. Руководитель управления сельского хозяйства и природопользования — об административных правонарушениях, предусмотренных: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5.3 (в отношении символики муниципального образования), 5.4 (в отношении наград муниципального образования), 5.1.6, 5.1.13 (в отношении ярмарок, организованных органами местного самоуправления, юридическими лицами, индивидуальны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ми предпринимателями), 6.8, 6.10, 6.12, 6.13, 6.25, 6.29, 6.30 Закона Белгородской области от 04 июля 2002 года </w:t>
      </w:r>
      <w:hyperlink r:id="rId17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1.4.2. Начальник отдела природопользования, защиты почв и земледелия, заместитель начальника отдела природопользования, защиты почв и земледелия, консультант отдела природопользования, защиты почв и земледелия — об административных правонарушениях, предусм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отренных: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5.3 (в отношении символики муниципального образования), 5.4 (в отношении наград муниципального образования), 5.1.6, 5.1.13 (в отношении ярмарок, организованных органами местного самоуправления, юридическими лицами, индивидуальны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ми предпринимателями), 6.8, 6.10, 6.12, 6.13, 6.25, 6.29, 6.30 Закона Белгородской области от 04 июля 2002 года </w:t>
      </w:r>
      <w:hyperlink r:id="rId18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1.4.3. Начальник отдела по развитию сельских территорий, заместитель начальника отдела по развитию сельских территорий, консультант отдела по развитию сельских территорий — об административных правонарушениях, предусмотренных: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5.3 (в отношении символики муниципального образования), 5.4 (в отношении наград муниципального образования), 5.1.6, 5.1.13 (в отношении ярмарок, организованных органами местного самоуправления, юридическими лицами, индивидуальны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ми предпринимателями), 6.8, 6.10, 6.12, 6.13, 6.25, 6.29, 6.30 Закона Белгородской области от 04 июля 2002 года </w:t>
      </w:r>
      <w:hyperlink r:id="rId19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1.4.4. Начальник отдела анализа и содействия по инновационному развитию отраслей сельскохозяйственного производства и субсидированию, консультант отдела анализа и содействия по инновационному развитию отраслей сельскохозяйственного производства и субсидиро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ванию — об административных правонарушениях, предусмотренных</w:t>
      </w:r>
      <w:r>
        <w:t xml:space="preserve">: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5.3 (в отношении символики муниципального образования), 5.4 (в отношении наград муниципального образования), 5.1.6, 5.1.13 (в отношении ярмарок, организованных органами местного самоуправления, юридическими лицами, индивидуальны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ми предпринимателями), 6.8, 6.10, 6.12, 6.13, 6.25, 6.29, 6.30 Закона Белгородской области от 04 июля 2002 года </w:t>
      </w:r>
      <w:hyperlink r:id="rId20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eastAsia="PT Astra Serif" w:cs="PT Astra Serif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3-4 закона Белгородской области от 11 июня 2015 года №360 «Об административной ответственности за правонарушения в сфере транспортного обслуживания населения в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6"/>
          <w:szCs w:val="26"/>
          <w:highlight w:val="none"/>
        </w:rPr>
        <w:t xml:space="preserve">1.5. Руководитель территориального управления Администрации Чернянского муниципального округа -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об административных правонарушениях, предусмотренных</w:t>
      </w:r>
      <w:r>
        <w:t xml:space="preserve">: 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- статьями 2.9, 2.10, 2.15, 2.17, 2.21, 3.3, 3.18-3.38, 5.1 (в случаях непредставления информации на обращение депутата представительного органа муниципального образования), 5.2 (в случаях воспрепятствования осуществлению органами местного самоуправления в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озложенных на них функций), 5.3 (в отношении символики муниципального образования), 5.4 (в отношении наград муниципального образования), 5.1.6, 5.1.13 (в отношении ярмарок, организованных органами местного самоуправления, юридическими лицами, индивидуальны</w:t>
      </w: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ми предпринимателями), 6.8, 6.10, 6.12, 6.13, 6.25, 6.29, 6.30 Закона Белгородской области от 04 июля 2002 года </w:t>
      </w:r>
      <w:hyperlink r:id="rId21" w:tooltip="https://pravo-search.minjust.ru/bigs/showDocument.html?id=3CD83501-418D-49E3-89BC-54CCEB11DF87" w:history="1">
        <w:r>
          <w:rPr>
            <w:rStyle w:val="872"/>
            <w:rFonts w:ascii="PT Astra Serif" w:hAnsi="PT Astra Serif" w:eastAsia="PT Astra Serif" w:cs="PT Astra Serif"/>
            <w:color w:val="0000ff"/>
            <w:sz w:val="26"/>
            <w:szCs w:val="26"/>
            <w:u w:val="none"/>
          </w:rPr>
          <w:t xml:space="preserve">№35</w:t>
        </w:r>
      </w:hyperlink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 «Об административных правонарушениях на территории Белгородской области»;</w:t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eastAsia="PT Astra Serif" w:cs="PT Astra Serif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b w:val="0"/>
          <w:sz w:val="26"/>
          <w:szCs w:val="26"/>
          <w:highlight w:val="none"/>
        </w:rPr>
        <w:t xml:space="preserve">Признать утратившими силу постановления администрации муниципального района «Чернянский район» Белгородской области: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eastAsia="PT Astra Serif" w:cs="PT Astra Serif"/>
          <w:sz w:val="26"/>
          <w:szCs w:val="26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04 марта 2021 года № 103 «Об определении перечня должностных лиц, уполномоченных составлять протоколы об административных правонарушениях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»;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25 января 2022 года № 33 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«О внесении изменений в постановление администрации муниципального района «Чернянский район» Белгородской области от 04 марта 2021 года № 103 «Об определении перечня должностных лиц, уполномоченных составлять протоколы об административных правонарушениях»;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25 февраля 2022 года № 128 «О внесении изменений в постановление администрации муниципального района «Чернянский район» Белгородской области от 04 марта 2021 года № 103»;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15 апреля 2022 года № 260 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«О внесении изменений в постановление администрации муниципального района «Чернянский район» Белгородской области от 04 марта 2021 года № 103 «Об определении перечня должностных лиц, уполномоченных составлять протоколы об административных правонарушениях»;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15 ноября 2022 года № 722 «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 внесении изменений в постановление администрации муниципального района «Чернянский район» Белгородской области от 04 марта 2021 года № 103 «Об определении перечня должностных лиц, уполномоченных составлять протоколы об административных правонарушениях»»;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от 14 декабря 2023 года № 763 «О внесении изменений в постановление администрации муниципального района «Чернянский район» Белгородской области муниципального района «Чернянский район» Белгородской области от 04 марта 2021 года № 103»».</w:t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sz w:val="26"/>
          <w:szCs w:val="26"/>
          <w:highlight w:val="none"/>
        </w:rPr>
      </w:r>
    </w:p>
    <w:p>
      <w:pPr>
        <w:pStyle w:val="924"/>
        <w:ind w:firstLine="709"/>
        <w:jc w:val="both"/>
        <w:rPr>
          <w:rFonts w:ascii="PT Astra Serif" w:hAnsi="PT Astra Serif" w:cs="PT Astra Serif"/>
          <w:b w:val="0"/>
          <w:bCs w:val="0"/>
          <w:sz w:val="26"/>
          <w:szCs w:val="26"/>
          <w:highlight w:val="none"/>
        </w:rPr>
      </w:pP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3.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Разместить настоящее постановление на официальном сайте органов местного самоуправления Чернянского муниципального округа (адрес сайта: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hyperlink r:id="rId22" w:tooltip="https://chernyanskijrajon-r31.gosweb.gosuslugi.ru/" w:history="1">
        <w:r>
          <w:rPr>
            <w:rStyle w:val="903"/>
            <w:rFonts w:ascii="Times New Roman" w:hAnsi="Times New Roman" w:cs="Times New Roman"/>
            <w:b w:val="0"/>
            <w:bCs w:val="0"/>
            <w:sz w:val="26"/>
            <w:szCs w:val="26"/>
            <w:highlight w:val="none"/>
          </w:rPr>
          <w:t xml:space="preserve">https://chernyanskijrajon-r31.gosweb.gosuslugi.ru/</w:t>
        </w:r>
        <w:r>
          <w:rPr>
            <w:rStyle w:val="903"/>
            <w:rFonts w:ascii="Times New Roman" w:hAnsi="Times New Roman" w:cs="Times New Roman"/>
            <w:b w:val="0"/>
            <w:bCs w:val="0"/>
            <w:sz w:val="26"/>
            <w:szCs w:val="26"/>
            <w:highlight w:val="none"/>
          </w:rPr>
        </w:r>
      </w:hyperlink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) в установленном порядке.</w:t>
      </w:r>
      <w:r>
        <w:rPr>
          <w:rFonts w:ascii="PT Astra Serif" w:hAnsi="PT Astra Serif" w:eastAsia="PT Astra Serif" w:cs="PT Astra Serif"/>
          <w:b w:val="0"/>
          <w:sz w:val="26"/>
          <w:szCs w:val="26"/>
          <w:highlight w:val="none"/>
        </w:rPr>
      </w:r>
      <w:r>
        <w:rPr>
          <w:rFonts w:ascii="PT Astra Serif" w:hAnsi="PT Astra Serif" w:cs="PT Astra Serif"/>
          <w:b w:val="0"/>
          <w:bCs w:val="0"/>
          <w:sz w:val="26"/>
          <w:szCs w:val="26"/>
          <w:highlight w:val="none"/>
        </w:rPr>
      </w:r>
    </w:p>
    <w:p>
      <w:pPr>
        <w:ind w:left="0" w:right="0" w:firstLine="720"/>
        <w:jc w:val="both"/>
        <w:spacing w:before="0" w:after="0"/>
        <w:rPr>
          <w:rFonts w:ascii="PT Astra Serif" w:hAnsi="PT Astra Serif" w:cs="PT Astra Seri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6"/>
          <w:szCs w:val="26"/>
        </w:rPr>
        <w:t xml:space="preserve">4. </w:t>
      </w:r>
      <w:r>
        <w:rPr>
          <w:sz w:val="26"/>
          <w:szCs w:val="26"/>
        </w:rPr>
        <w:t xml:space="preserve">Контроль за исполнением настоящего </w:t>
      </w:r>
      <w:r>
        <w:rPr>
          <w:sz w:val="26"/>
          <w:szCs w:val="26"/>
        </w:rPr>
        <w:t xml:space="preserve">постановления </w:t>
      </w:r>
      <w:r>
        <w:rPr>
          <w:sz w:val="26"/>
          <w:szCs w:val="26"/>
        </w:rPr>
        <w:t xml:space="preserve">возложить на заместителя Главы Чернянского муниципального округа по безопасности (Еремин А.М.).</w:t>
      </w:r>
      <w:r>
        <w:rPr>
          <w:rFonts w:ascii="PT Astra Serif" w:hAnsi="PT Astra Serif" w:eastAsia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  <w:p>
            <w:pPr>
              <w:pStyle w:val="890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  <w:p>
            <w:pPr>
              <w:pStyle w:val="890"/>
              <w:jc w:val="center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  <w:t xml:space="preserve">Глава Чернянского муниципального округа</w:t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890"/>
              <w:jc w:val="right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  <w:p>
            <w:pPr>
              <w:pStyle w:val="890"/>
              <w:jc w:val="right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  <w:p>
            <w:pPr>
              <w:pStyle w:val="890"/>
              <w:jc w:val="right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  <w:p>
            <w:pPr>
              <w:pStyle w:val="890"/>
              <w:jc w:val="right"/>
              <w:rPr>
                <w:rFonts w:ascii="PT Astra Serif" w:hAnsi="PT Astra Serif" w:cs="PT Astra Serif"/>
                <w:b/>
                <w:sz w:val="26"/>
                <w:szCs w:val="26"/>
              </w:rPr>
            </w:pPr>
            <w:r>
              <w:rPr>
                <w:rFonts w:ascii="PT Astra Serif" w:hAnsi="PT Astra Serif" w:eastAsia="PT Astra Serif" w:cs="PT Astra Serif"/>
                <w:b/>
                <w:sz w:val="26"/>
                <w:szCs w:val="26"/>
              </w:rPr>
              <w:t xml:space="preserve">С.А.. Морозов</w:t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</w:rPr>
            </w:r>
          </w:p>
        </w:tc>
      </w:tr>
    </w:tbl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p>
      <w:pPr>
        <w:pStyle w:val="89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 Astra Serif" w:cs="PT Astra Serif"/>
          <w:sz w:val="26"/>
          <w:szCs w:val="26"/>
          <w:lang w:eastAsia="zh-CN"/>
        </w:rPr>
      </w: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</w:p>
    <w:sectPr>
      <w:footerReference w:type="default" r:id="rId9"/>
      <w:footerReference w:type="first" r:id="rId10"/>
      <w:footnotePr/>
      <w:endnotePr/>
      <w:type w:val="nextPage"/>
      <w:pgSz w:w="11907" w:h="16834" w:orient="portrait"/>
      <w:pgMar w:top="1134" w:right="1304" w:bottom="1134" w:left="1304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Franklin Gothic Heavy">
    <w:panose1 w:val="020B0A04020102020204"/>
  </w:font>
  <w:font w:name="SimHei">
    <w:panose1 w:val="02000506000000020000"/>
  </w:font>
  <w:font w:name="PT Astra Serif">
    <w:panose1 w:val="020A0603040505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91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  <w:r/>
  </w:p>
  <w:p>
    <w:pPr>
      <w:pStyle w:val="9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0"/>
    <w:next w:val="890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0"/>
    <w:next w:val="890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0"/>
    <w:next w:val="890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0"/>
    <w:next w:val="890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0"/>
    <w:next w:val="890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0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0"/>
    <w:next w:val="890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basedOn w:val="890"/>
    <w:next w:val="890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basedOn w:val="890"/>
    <w:next w:val="890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0"/>
    <w:next w:val="890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0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basedOn w:val="890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next w:val="890"/>
    <w:link w:val="890"/>
    <w:qFormat/>
    <w:pPr>
      <w:widowControl w:val="off"/>
    </w:pPr>
    <w:rPr>
      <w:lang w:val="ru-RU" w:eastAsia="ru-RU" w:bidi="ar-SA"/>
    </w:rPr>
  </w:style>
  <w:style w:type="paragraph" w:styleId="891">
    <w:name w:val="Заголовок 2"/>
    <w:basedOn w:val="890"/>
    <w:next w:val="890"/>
    <w:link w:val="902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892">
    <w:name w:val="Основной шрифт абзаца"/>
    <w:next w:val="892"/>
    <w:link w:val="890"/>
    <w:semiHidden/>
  </w:style>
  <w:style w:type="table" w:styleId="893">
    <w:name w:val="Обычная таблица"/>
    <w:next w:val="893"/>
    <w:link w:val="890"/>
    <w:semiHidden/>
    <w:tblPr/>
  </w:style>
  <w:style w:type="numbering" w:styleId="894">
    <w:name w:val="Нет списка"/>
    <w:next w:val="894"/>
    <w:link w:val="890"/>
    <w:semiHidden/>
  </w:style>
  <w:style w:type="paragraph" w:styleId="895">
    <w:name w:val="Название объекта"/>
    <w:basedOn w:val="890"/>
    <w:next w:val="890"/>
    <w:link w:val="890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896">
    <w:name w:val="Сетка таблицы"/>
    <w:basedOn w:val="893"/>
    <w:next w:val="896"/>
    <w:link w:val="890"/>
    <w:pPr>
      <w:widowControl w:val="off"/>
    </w:pPr>
    <w:tblPr/>
  </w:style>
  <w:style w:type="paragraph" w:styleId="897">
    <w:name w:val="Базовый"/>
    <w:next w:val="897"/>
    <w:link w:val="890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898">
    <w:name w:val="Текст"/>
    <w:basedOn w:val="897"/>
    <w:next w:val="898"/>
    <w:link w:val="890"/>
    <w:pPr>
      <w:spacing w:before="100" w:after="100"/>
    </w:pPr>
    <w:rPr>
      <w:sz w:val="24"/>
      <w:szCs w:val="24"/>
    </w:rPr>
  </w:style>
  <w:style w:type="paragraph" w:styleId="899">
    <w:name w:val="ConsPlusNormal"/>
    <w:next w:val="899"/>
    <w:link w:val="890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00">
    <w:name w:val="Обычный 1"/>
    <w:basedOn w:val="897"/>
    <w:next w:val="900"/>
    <w:link w:val="890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01">
    <w:name w:val="Обычный 1 Многоуровневый нумерованный"/>
    <w:basedOn w:val="897"/>
    <w:next w:val="901"/>
    <w:link w:val="890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02">
    <w:name w:val="Заголовок 2 Знак"/>
    <w:next w:val="902"/>
    <w:link w:val="891"/>
    <w:rPr>
      <w:i/>
      <w:sz w:val="28"/>
      <w:lang w:val="en-US" w:eastAsia="en-US"/>
    </w:rPr>
  </w:style>
  <w:style w:type="character" w:styleId="903">
    <w:name w:val="Гиперссылка"/>
    <w:next w:val="903"/>
    <w:link w:val="890"/>
    <w:rPr>
      <w:color w:val="0066cc"/>
      <w:u w:val="single"/>
    </w:rPr>
  </w:style>
  <w:style w:type="character" w:styleId="904">
    <w:name w:val="Основной текст_"/>
    <w:next w:val="904"/>
    <w:link w:val="908"/>
    <w:rPr>
      <w:spacing w:val="10"/>
      <w:sz w:val="21"/>
      <w:szCs w:val="21"/>
      <w:shd w:val="clear" w:color="auto" w:fill="ffffff"/>
    </w:rPr>
  </w:style>
  <w:style w:type="character" w:styleId="905">
    <w:name w:val="Основной текст + Полужирный"/>
    <w:next w:val="905"/>
    <w:link w:val="890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06">
    <w:name w:val="Основной текст1"/>
    <w:next w:val="906"/>
    <w:link w:val="890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07">
    <w:name w:val="Основной текст + SimHei;Интервал 0 pt"/>
    <w:next w:val="907"/>
    <w:link w:val="890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08">
    <w:name w:val="Основной текст2"/>
    <w:basedOn w:val="890"/>
    <w:next w:val="908"/>
    <w:link w:val="904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09">
    <w:name w:val="Основной текст (4) Exact"/>
    <w:next w:val="909"/>
    <w:link w:val="910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10">
    <w:name w:val="Основной текст (4)"/>
    <w:basedOn w:val="890"/>
    <w:next w:val="910"/>
    <w:link w:val="909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11">
    <w:name w:val="Верхний колонтитул"/>
    <w:basedOn w:val="890"/>
    <w:next w:val="911"/>
    <w:link w:val="912"/>
    <w:pPr>
      <w:tabs>
        <w:tab w:val="center" w:pos="4677" w:leader="none"/>
        <w:tab w:val="right" w:pos="9355" w:leader="none"/>
      </w:tabs>
    </w:pPr>
  </w:style>
  <w:style w:type="character" w:styleId="912">
    <w:name w:val="Верхний колонтитул Знак"/>
    <w:basedOn w:val="892"/>
    <w:next w:val="912"/>
    <w:link w:val="911"/>
  </w:style>
  <w:style w:type="paragraph" w:styleId="913">
    <w:name w:val="Нижний колонтитул"/>
    <w:basedOn w:val="890"/>
    <w:next w:val="913"/>
    <w:link w:val="914"/>
    <w:uiPriority w:val="99"/>
    <w:pPr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basedOn w:val="892"/>
    <w:next w:val="914"/>
    <w:link w:val="913"/>
    <w:uiPriority w:val="99"/>
  </w:style>
  <w:style w:type="paragraph" w:styleId="915">
    <w:name w:val="Style11"/>
    <w:basedOn w:val="890"/>
    <w:next w:val="915"/>
    <w:link w:val="890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16">
    <w:name w:val="Style12"/>
    <w:basedOn w:val="890"/>
    <w:next w:val="916"/>
    <w:link w:val="890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17">
    <w:name w:val="Font Style21"/>
    <w:next w:val="917"/>
    <w:link w:val="890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18">
    <w:name w:val="Font Style22"/>
    <w:next w:val="918"/>
    <w:link w:val="890"/>
    <w:uiPriority w:val="99"/>
    <w:rPr>
      <w:rFonts w:ascii="Times New Roman" w:hAnsi="Times New Roman" w:cs="Times New Roman"/>
      <w:sz w:val="26"/>
      <w:szCs w:val="26"/>
    </w:rPr>
  </w:style>
  <w:style w:type="paragraph" w:styleId="919">
    <w:name w:val="Схема документа"/>
    <w:basedOn w:val="890"/>
    <w:next w:val="919"/>
    <w:link w:val="920"/>
    <w:rPr>
      <w:rFonts w:ascii="Tahoma" w:hAnsi="Tahoma" w:cs="Tahoma"/>
      <w:sz w:val="16"/>
      <w:szCs w:val="16"/>
    </w:rPr>
  </w:style>
  <w:style w:type="character" w:styleId="920">
    <w:name w:val="Схема документа Знак"/>
    <w:basedOn w:val="892"/>
    <w:next w:val="920"/>
    <w:link w:val="919"/>
    <w:rPr>
      <w:rFonts w:ascii="Tahoma" w:hAnsi="Tahoma" w:cs="Tahoma"/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92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jpg"/><Relationship Id="rId12" Type="http://schemas.openxmlformats.org/officeDocument/2006/relationships/hyperlink" Target="https://pravo-search.minjust.ru/bigs/showDocument.html?id=3CD83501-418D-49E3-89BC-54CCEB11DF87" TargetMode="External"/><Relationship Id="rId13" Type="http://schemas.openxmlformats.org/officeDocument/2006/relationships/hyperlink" Target="https://pravo-search.minjust.ru/bigs/showDocument.html?id=3CD83501-418D-49E3-89BC-54CCEB11DF87" TargetMode="External"/><Relationship Id="rId14" Type="http://schemas.openxmlformats.org/officeDocument/2006/relationships/hyperlink" Target="https://pravo-search.minjust.ru/bigs/showDocument.html?id=3CD83501-418D-49E3-89BC-54CCEB11DF87" TargetMode="External"/><Relationship Id="rId15" Type="http://schemas.openxmlformats.org/officeDocument/2006/relationships/hyperlink" Target="https://pravo-search.minjust.ru/bigs/showDocument.html?id=3CD83501-418D-49E3-89BC-54CCEB11DF87" TargetMode="External"/><Relationship Id="rId16" Type="http://schemas.openxmlformats.org/officeDocument/2006/relationships/hyperlink" Target="https://pravo-search.minjust.ru/bigs/showDocument.html?id=3CD83501-418D-49E3-89BC-54CCEB11DF87" TargetMode="External"/><Relationship Id="rId17" Type="http://schemas.openxmlformats.org/officeDocument/2006/relationships/hyperlink" Target="https://pravo-search.minjust.ru/bigs/showDocument.html?id=3CD83501-418D-49E3-89BC-54CCEB11DF87" TargetMode="External"/><Relationship Id="rId18" Type="http://schemas.openxmlformats.org/officeDocument/2006/relationships/hyperlink" Target="https://pravo-search.minjust.ru/bigs/showDocument.html?id=3CD83501-418D-49E3-89BC-54CCEB11DF87" TargetMode="External"/><Relationship Id="rId19" Type="http://schemas.openxmlformats.org/officeDocument/2006/relationships/hyperlink" Target="https://pravo-search.minjust.ru/bigs/showDocument.html?id=3CD83501-418D-49E3-89BC-54CCEB11DF87" TargetMode="External"/><Relationship Id="rId20" Type="http://schemas.openxmlformats.org/officeDocument/2006/relationships/hyperlink" Target="https://pravo-search.minjust.ru/bigs/showDocument.html?id=3CD83501-418D-49E3-89BC-54CCEB11DF87" TargetMode="External"/><Relationship Id="rId21" Type="http://schemas.openxmlformats.org/officeDocument/2006/relationships/hyperlink" Target="https://pravo-search.minjust.ru/bigs/showDocument.html?id=3CD83501-418D-49E3-89BC-54CCEB11DF87" TargetMode="External"/><Relationship Id="rId22" Type="http://schemas.openxmlformats.org/officeDocument/2006/relationships/hyperlink" Target="https://chernyanskijrajon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8</cp:revision>
  <dcterms:created xsi:type="dcterms:W3CDTF">2021-03-02T06:42:00Z</dcterms:created>
  <dcterms:modified xsi:type="dcterms:W3CDTF">2025-12-10T13:22:46Z</dcterms:modified>
  <cp:version>786432</cp:version>
</cp:coreProperties>
</file>